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00" w:rsidRPr="00E75BC2" w:rsidRDefault="008B4B00" w:rsidP="003802F5">
      <w:pPr>
        <w:numPr>
          <w:ilvl w:val="0"/>
          <w:numId w:val="9"/>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E75BC2">
        <w:rPr>
          <w:rFonts w:ascii="Arial" w:hAnsi="Arial" w:cs="Arial"/>
          <w:bCs/>
          <w:spacing w:val="-3"/>
          <w:sz w:val="22"/>
          <w:szCs w:val="22"/>
        </w:rPr>
        <w:t xml:space="preserve">The Education Green Paper, </w:t>
      </w:r>
      <w:r w:rsidRPr="00E75BC2">
        <w:rPr>
          <w:rFonts w:ascii="Arial" w:hAnsi="Arial" w:cs="Arial"/>
          <w:bCs/>
          <w:i/>
          <w:spacing w:val="-3"/>
          <w:sz w:val="22"/>
          <w:szCs w:val="22"/>
        </w:rPr>
        <w:t xml:space="preserve">A Flying Start for </w:t>
      </w:r>
      <w:smartTag w:uri="urn:schemas-microsoft-com:office:smarttags" w:element="place">
        <w:smartTag w:uri="urn:schemas-microsoft-com:office:smarttags" w:element="State">
          <w:r w:rsidRPr="00E75BC2">
            <w:rPr>
              <w:rFonts w:ascii="Arial" w:hAnsi="Arial" w:cs="Arial"/>
              <w:bCs/>
              <w:i/>
              <w:spacing w:val="-3"/>
              <w:sz w:val="22"/>
              <w:szCs w:val="22"/>
            </w:rPr>
            <w:t>Queensland</w:t>
          </w:r>
        </w:smartTag>
      </w:smartTag>
      <w:r w:rsidRPr="00E75BC2">
        <w:rPr>
          <w:rFonts w:ascii="Arial" w:hAnsi="Arial" w:cs="Arial"/>
          <w:bCs/>
          <w:i/>
          <w:spacing w:val="-3"/>
          <w:sz w:val="22"/>
          <w:szCs w:val="22"/>
        </w:rPr>
        <w:t xml:space="preserve"> Children</w:t>
      </w:r>
      <w:r w:rsidR="003802F5">
        <w:rPr>
          <w:rFonts w:ascii="Arial" w:hAnsi="Arial" w:cs="Arial"/>
          <w:bCs/>
          <w:spacing w:val="-3"/>
          <w:sz w:val="22"/>
          <w:szCs w:val="22"/>
        </w:rPr>
        <w:t>,</w:t>
      </w:r>
      <w:r w:rsidRPr="00E75BC2">
        <w:rPr>
          <w:rFonts w:ascii="Arial" w:hAnsi="Arial" w:cs="Arial"/>
          <w:bCs/>
          <w:spacing w:val="-3"/>
          <w:sz w:val="22"/>
          <w:szCs w:val="22"/>
        </w:rPr>
        <w:t xml:space="preserve"> </w:t>
      </w:r>
      <w:r>
        <w:rPr>
          <w:rFonts w:ascii="Arial" w:hAnsi="Arial" w:cs="Arial"/>
          <w:bCs/>
          <w:spacing w:val="-3"/>
          <w:sz w:val="22"/>
          <w:szCs w:val="22"/>
        </w:rPr>
        <w:t>announced</w:t>
      </w:r>
      <w:r w:rsidRPr="00E75BC2">
        <w:rPr>
          <w:rFonts w:ascii="Arial" w:hAnsi="Arial" w:cs="Arial"/>
          <w:bCs/>
          <w:spacing w:val="-3"/>
          <w:sz w:val="22"/>
          <w:szCs w:val="22"/>
        </w:rPr>
        <w:t xml:space="preserve"> a review of teacher training and school induction programs and the establishment of Teaching Education Centres of Excellence. </w:t>
      </w:r>
    </w:p>
    <w:p w:rsidR="008B4B00" w:rsidRPr="00E75BC2" w:rsidRDefault="008B4B00" w:rsidP="003802F5">
      <w:pPr>
        <w:numPr>
          <w:ilvl w:val="0"/>
          <w:numId w:val="9"/>
        </w:numPr>
        <w:tabs>
          <w:tab w:val="clear" w:pos="720"/>
          <w:tab w:val="num" w:pos="360"/>
        </w:tabs>
        <w:spacing w:before="240"/>
        <w:ind w:left="357" w:hanging="357"/>
        <w:jc w:val="both"/>
        <w:rPr>
          <w:rFonts w:ascii="Arial" w:hAnsi="Arial" w:cs="Arial"/>
          <w:bCs/>
          <w:spacing w:val="-3"/>
          <w:sz w:val="22"/>
          <w:szCs w:val="22"/>
        </w:rPr>
      </w:pPr>
      <w:r w:rsidRPr="00E75BC2">
        <w:rPr>
          <w:rFonts w:ascii="Arial" w:hAnsi="Arial" w:cs="Arial"/>
          <w:bCs/>
          <w:spacing w:val="-3"/>
          <w:sz w:val="22"/>
          <w:szCs w:val="22"/>
        </w:rPr>
        <w:t xml:space="preserve">Distinguished educational leaders, Professor Brian Caldwell and Mr David Sutton, were appointed as joint review leaders and two review reports have been prepared. </w:t>
      </w:r>
    </w:p>
    <w:p w:rsidR="008B4B00" w:rsidRPr="00E75BC2" w:rsidRDefault="008B4B00" w:rsidP="003802F5">
      <w:pPr>
        <w:numPr>
          <w:ilvl w:val="0"/>
          <w:numId w:val="9"/>
        </w:numPr>
        <w:tabs>
          <w:tab w:val="clear" w:pos="720"/>
          <w:tab w:val="num" w:pos="360"/>
        </w:tabs>
        <w:spacing w:before="240"/>
        <w:ind w:left="357" w:hanging="357"/>
        <w:jc w:val="both"/>
        <w:rPr>
          <w:rFonts w:ascii="Arial" w:hAnsi="Arial" w:cs="Arial"/>
          <w:bCs/>
          <w:spacing w:val="-3"/>
          <w:sz w:val="22"/>
          <w:szCs w:val="22"/>
        </w:rPr>
      </w:pPr>
      <w:r w:rsidRPr="00E75BC2">
        <w:rPr>
          <w:rFonts w:ascii="Arial" w:hAnsi="Arial" w:cs="Arial"/>
          <w:bCs/>
          <w:spacing w:val="-3"/>
          <w:sz w:val="22"/>
          <w:szCs w:val="22"/>
        </w:rPr>
        <w:t>The first report outlines the approach used for the review and its major findings and recommendations of a general nature. The second report outlines further work and additional recommendations focused on seven specific areas: behaviour management, students with special education needs, Indigenous education, early childhood education, middle schooling, parental engagement and professional standards at the graduate level.</w:t>
      </w:r>
    </w:p>
    <w:p w:rsidR="008B4B00" w:rsidRDefault="008B4B00" w:rsidP="003802F5">
      <w:pPr>
        <w:numPr>
          <w:ilvl w:val="0"/>
          <w:numId w:val="9"/>
        </w:numPr>
        <w:tabs>
          <w:tab w:val="clear" w:pos="720"/>
          <w:tab w:val="num" w:pos="360"/>
        </w:tabs>
        <w:spacing w:before="240"/>
        <w:ind w:left="357" w:hanging="357"/>
        <w:jc w:val="both"/>
        <w:rPr>
          <w:rFonts w:ascii="Arial" w:hAnsi="Arial" w:cs="Arial"/>
          <w:bCs/>
          <w:spacing w:val="-3"/>
          <w:sz w:val="22"/>
          <w:szCs w:val="22"/>
        </w:rPr>
      </w:pPr>
      <w:r w:rsidRPr="00E75BC2">
        <w:rPr>
          <w:rFonts w:ascii="Arial" w:hAnsi="Arial" w:cs="Arial"/>
          <w:bCs/>
          <w:spacing w:val="-3"/>
          <w:sz w:val="22"/>
          <w:szCs w:val="22"/>
        </w:rPr>
        <w:t xml:space="preserve">The review leaders found that </w:t>
      </w:r>
      <w:smartTag w:uri="urn:schemas-microsoft-com:office:smarttags" w:element="place">
        <w:smartTag w:uri="urn:schemas-microsoft-com:office:smarttags" w:element="State">
          <w:r w:rsidRPr="00E75BC2">
            <w:rPr>
              <w:rFonts w:ascii="Arial" w:hAnsi="Arial" w:cs="Arial"/>
              <w:bCs/>
              <w:spacing w:val="-3"/>
              <w:sz w:val="22"/>
              <w:szCs w:val="22"/>
            </w:rPr>
            <w:t>Queensland</w:t>
          </w:r>
        </w:smartTag>
      </w:smartTag>
      <w:r w:rsidRPr="00E75BC2">
        <w:rPr>
          <w:rFonts w:ascii="Arial" w:hAnsi="Arial" w:cs="Arial"/>
          <w:bCs/>
          <w:spacing w:val="-3"/>
          <w:sz w:val="22"/>
          <w:szCs w:val="22"/>
        </w:rPr>
        <w:t xml:space="preserve"> has high standards of teacher preparation and is well placed to adopt the next level of standards internationally identified with the highest levels of student achievement. </w:t>
      </w:r>
    </w:p>
    <w:p w:rsidR="008B4B00" w:rsidRDefault="008B4B00" w:rsidP="008B4B00">
      <w:pPr>
        <w:numPr>
          <w:ilvl w:val="0"/>
          <w:numId w:val="9"/>
        </w:numPr>
        <w:tabs>
          <w:tab w:val="clear" w:pos="720"/>
          <w:tab w:val="num" w:pos="360"/>
        </w:tabs>
        <w:spacing w:before="240"/>
        <w:ind w:left="360"/>
        <w:jc w:val="both"/>
        <w:rPr>
          <w:rFonts w:ascii="Arial" w:hAnsi="Arial" w:cs="Arial"/>
          <w:bCs/>
          <w:spacing w:val="-3"/>
          <w:sz w:val="22"/>
          <w:szCs w:val="22"/>
        </w:rPr>
      </w:pPr>
      <w:r w:rsidRPr="00D345B4">
        <w:rPr>
          <w:rFonts w:ascii="Arial" w:hAnsi="Arial" w:cs="Arial"/>
          <w:bCs/>
          <w:spacing w:val="-3"/>
          <w:sz w:val="22"/>
          <w:szCs w:val="22"/>
          <w:u w:val="single"/>
        </w:rPr>
        <w:t>Cabinet approved</w:t>
      </w:r>
      <w:r>
        <w:rPr>
          <w:rFonts w:ascii="Arial" w:hAnsi="Arial" w:cs="Arial"/>
          <w:bCs/>
          <w:spacing w:val="-3"/>
          <w:sz w:val="22"/>
          <w:szCs w:val="22"/>
        </w:rPr>
        <w:t xml:space="preserve"> several key recommendations from the review of teacher education and school induction programs involving the content of teacher education courses. The changes will be implemented immediately by relevant institutions and the Queensland College of Teachers. Teacher education courses will be revised or developed to boost emphasis on: </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student behaviour management; </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engaging with parents; </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English as a second language particularly for settings with Indigenous students; </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the ability to assess well and use student assessment to diagnose learning needs, determine levels of support and ensure learning is personalised;</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teaching to the different needs of learners; and </w:t>
      </w:r>
    </w:p>
    <w:p w:rsidR="008B4B00" w:rsidRDefault="008B4B00" w:rsidP="008B4B00">
      <w:pPr>
        <w:numPr>
          <w:ilvl w:val="0"/>
          <w:numId w:val="29"/>
        </w:numPr>
        <w:spacing w:before="120"/>
        <w:ind w:left="714" w:hanging="357"/>
        <w:jc w:val="both"/>
        <w:rPr>
          <w:rFonts w:ascii="Arial" w:hAnsi="Arial" w:cs="Arial"/>
          <w:bCs/>
          <w:spacing w:val="-3"/>
          <w:sz w:val="22"/>
          <w:szCs w:val="22"/>
        </w:rPr>
      </w:pPr>
      <w:r>
        <w:rPr>
          <w:rFonts w:ascii="Arial" w:hAnsi="Arial" w:cs="Arial"/>
          <w:bCs/>
          <w:spacing w:val="-3"/>
          <w:sz w:val="22"/>
          <w:szCs w:val="22"/>
        </w:rPr>
        <w:t>teaching learners with special education needs.</w:t>
      </w:r>
    </w:p>
    <w:p w:rsidR="008B4B00" w:rsidRDefault="008B4B00" w:rsidP="008B4B00">
      <w:pPr>
        <w:numPr>
          <w:ilvl w:val="0"/>
          <w:numId w:val="9"/>
        </w:numPr>
        <w:tabs>
          <w:tab w:val="clear" w:pos="720"/>
          <w:tab w:val="num" w:pos="360"/>
        </w:tabs>
        <w:spacing w:before="240"/>
        <w:ind w:left="360"/>
        <w:jc w:val="both"/>
        <w:rPr>
          <w:rFonts w:ascii="Arial" w:hAnsi="Arial" w:cs="Arial"/>
          <w:bCs/>
          <w:spacing w:val="-3"/>
          <w:sz w:val="22"/>
          <w:szCs w:val="22"/>
        </w:rPr>
      </w:pPr>
      <w:r w:rsidRPr="00D345B4">
        <w:rPr>
          <w:rFonts w:ascii="Arial" w:hAnsi="Arial" w:cs="Arial"/>
          <w:bCs/>
          <w:spacing w:val="-3"/>
          <w:sz w:val="22"/>
          <w:szCs w:val="22"/>
          <w:u w:val="single"/>
        </w:rPr>
        <w:t>Cabinet approved</w:t>
      </w:r>
      <w:r>
        <w:rPr>
          <w:rFonts w:ascii="Arial" w:hAnsi="Arial" w:cs="Arial"/>
          <w:bCs/>
          <w:spacing w:val="-3"/>
          <w:sz w:val="22"/>
          <w:szCs w:val="22"/>
        </w:rPr>
        <w:t xml:space="preserve"> implementation of a trial involving an employment-based pathway into teaching by the Department of Education and Training in response to recommendations from the review.</w:t>
      </w:r>
    </w:p>
    <w:p w:rsidR="008B4B00" w:rsidRDefault="008B4B00" w:rsidP="008B4B00">
      <w:pPr>
        <w:numPr>
          <w:ilvl w:val="0"/>
          <w:numId w:val="9"/>
        </w:numPr>
        <w:tabs>
          <w:tab w:val="clear" w:pos="720"/>
          <w:tab w:val="num" w:pos="360"/>
        </w:tabs>
        <w:spacing w:before="240"/>
        <w:ind w:left="360"/>
        <w:jc w:val="both"/>
        <w:rPr>
          <w:rFonts w:ascii="Arial" w:hAnsi="Arial" w:cs="Arial"/>
          <w:bCs/>
          <w:spacing w:val="-3"/>
          <w:sz w:val="22"/>
          <w:szCs w:val="22"/>
        </w:rPr>
      </w:pPr>
      <w:r w:rsidRPr="00D345B4">
        <w:rPr>
          <w:rFonts w:ascii="Arial" w:hAnsi="Arial" w:cs="Arial"/>
          <w:bCs/>
          <w:spacing w:val="-3"/>
          <w:sz w:val="22"/>
          <w:szCs w:val="22"/>
          <w:u w:val="single"/>
        </w:rPr>
        <w:t>Cabinet approved</w:t>
      </w:r>
      <w:r>
        <w:rPr>
          <w:rFonts w:ascii="Arial" w:hAnsi="Arial" w:cs="Arial"/>
          <w:bCs/>
          <w:spacing w:val="-3"/>
          <w:sz w:val="22"/>
          <w:szCs w:val="22"/>
        </w:rPr>
        <w:t xml:space="preserve"> the establishment of a Teacher Education Implementation Taskforce to develop proposals for implementing recommendations from the review that require further analysis and co-ordinated planning with major stakeholders. The Taskforce will report to the Minister for Education and Industrial Relations.</w:t>
      </w:r>
    </w:p>
    <w:p w:rsidR="008B4B00" w:rsidRPr="00C07656" w:rsidRDefault="008B4B00" w:rsidP="003802F5">
      <w:pPr>
        <w:spacing w:before="120"/>
        <w:jc w:val="both"/>
        <w:rPr>
          <w:rFonts w:ascii="Arial" w:hAnsi="Arial" w:cs="Arial"/>
          <w:sz w:val="22"/>
          <w:szCs w:val="22"/>
        </w:rPr>
      </w:pPr>
    </w:p>
    <w:p w:rsidR="008B4B00" w:rsidRPr="003802F5" w:rsidRDefault="008B4B00" w:rsidP="008B4B00">
      <w:pPr>
        <w:keepNext/>
        <w:numPr>
          <w:ilvl w:val="0"/>
          <w:numId w:val="9"/>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8B4B00" w:rsidRPr="00643C17" w:rsidRDefault="008E49F0" w:rsidP="008B4B00">
      <w:pPr>
        <w:numPr>
          <w:ilvl w:val="0"/>
          <w:numId w:val="29"/>
        </w:numPr>
        <w:spacing w:before="120"/>
        <w:ind w:left="714" w:hanging="357"/>
        <w:jc w:val="both"/>
        <w:rPr>
          <w:rFonts w:ascii="Arial" w:hAnsi="Arial" w:cs="Arial"/>
          <w:bCs/>
          <w:spacing w:val="-3"/>
          <w:sz w:val="22"/>
          <w:szCs w:val="22"/>
        </w:rPr>
      </w:pPr>
      <w:hyperlink r:id="rId7" w:history="1">
        <w:r w:rsidR="008B4B00" w:rsidRPr="003802F5">
          <w:rPr>
            <w:rStyle w:val="Hyperlink"/>
            <w:rFonts w:ascii="Arial" w:hAnsi="Arial" w:cs="Arial"/>
            <w:sz w:val="22"/>
            <w:szCs w:val="22"/>
          </w:rPr>
          <w:t>Review o</w:t>
        </w:r>
        <w:r w:rsidR="008B4B00" w:rsidRPr="003802F5">
          <w:rPr>
            <w:rStyle w:val="Hyperlink"/>
            <w:rFonts w:ascii="Arial" w:hAnsi="Arial" w:cs="Arial"/>
            <w:bCs/>
            <w:spacing w:val="-3"/>
            <w:sz w:val="22"/>
            <w:szCs w:val="22"/>
          </w:rPr>
          <w:t xml:space="preserve">f </w:t>
        </w:r>
        <w:r w:rsidR="00C9565C" w:rsidRPr="003802F5">
          <w:rPr>
            <w:rStyle w:val="Hyperlink"/>
            <w:rFonts w:ascii="Arial" w:hAnsi="Arial" w:cs="Arial"/>
            <w:bCs/>
            <w:spacing w:val="-3"/>
            <w:sz w:val="22"/>
            <w:szCs w:val="22"/>
          </w:rPr>
          <w:t>T</w:t>
        </w:r>
        <w:r w:rsidR="008B4B00" w:rsidRPr="003802F5">
          <w:rPr>
            <w:rStyle w:val="Hyperlink"/>
            <w:rFonts w:ascii="Arial" w:hAnsi="Arial" w:cs="Arial"/>
            <w:bCs/>
            <w:spacing w:val="-3"/>
            <w:sz w:val="22"/>
            <w:szCs w:val="22"/>
          </w:rPr>
          <w:t xml:space="preserve">eacher </w:t>
        </w:r>
        <w:r w:rsidR="00C9565C" w:rsidRPr="003802F5">
          <w:rPr>
            <w:rStyle w:val="Hyperlink"/>
            <w:rFonts w:ascii="Arial" w:hAnsi="Arial" w:cs="Arial"/>
            <w:bCs/>
            <w:spacing w:val="-3"/>
            <w:sz w:val="22"/>
            <w:szCs w:val="22"/>
          </w:rPr>
          <w:t>E</w:t>
        </w:r>
        <w:r w:rsidR="008B4B00" w:rsidRPr="003802F5">
          <w:rPr>
            <w:rStyle w:val="Hyperlink"/>
            <w:rFonts w:ascii="Arial" w:hAnsi="Arial" w:cs="Arial"/>
            <w:bCs/>
            <w:spacing w:val="-3"/>
            <w:sz w:val="22"/>
            <w:szCs w:val="22"/>
          </w:rPr>
          <w:t xml:space="preserve">ducation and </w:t>
        </w:r>
        <w:r w:rsidR="00C9565C" w:rsidRPr="003802F5">
          <w:rPr>
            <w:rStyle w:val="Hyperlink"/>
            <w:rFonts w:ascii="Arial" w:hAnsi="Arial" w:cs="Arial"/>
            <w:bCs/>
            <w:spacing w:val="-3"/>
            <w:sz w:val="22"/>
            <w:szCs w:val="22"/>
          </w:rPr>
          <w:t>S</w:t>
        </w:r>
        <w:r w:rsidR="008B4B00" w:rsidRPr="003802F5">
          <w:rPr>
            <w:rStyle w:val="Hyperlink"/>
            <w:rFonts w:ascii="Arial" w:hAnsi="Arial" w:cs="Arial"/>
            <w:bCs/>
            <w:spacing w:val="-3"/>
            <w:sz w:val="22"/>
            <w:szCs w:val="22"/>
          </w:rPr>
          <w:t xml:space="preserve">chool </w:t>
        </w:r>
        <w:r w:rsidR="00C9565C" w:rsidRPr="003802F5">
          <w:rPr>
            <w:rStyle w:val="Hyperlink"/>
            <w:rFonts w:ascii="Arial" w:hAnsi="Arial" w:cs="Arial"/>
            <w:bCs/>
            <w:spacing w:val="-3"/>
            <w:sz w:val="22"/>
            <w:szCs w:val="22"/>
          </w:rPr>
          <w:t>I</w:t>
        </w:r>
        <w:r w:rsidR="008B4B00" w:rsidRPr="003802F5">
          <w:rPr>
            <w:rStyle w:val="Hyperlink"/>
            <w:rFonts w:ascii="Arial" w:hAnsi="Arial" w:cs="Arial"/>
            <w:bCs/>
            <w:spacing w:val="-3"/>
            <w:sz w:val="22"/>
            <w:szCs w:val="22"/>
          </w:rPr>
          <w:t>nduction – First report</w:t>
        </w:r>
      </w:hyperlink>
      <w:r w:rsidR="008B4B00" w:rsidRPr="00643C17">
        <w:rPr>
          <w:rFonts w:ascii="Arial" w:hAnsi="Arial" w:cs="Arial"/>
          <w:bCs/>
          <w:spacing w:val="-3"/>
          <w:sz w:val="22"/>
          <w:szCs w:val="22"/>
        </w:rPr>
        <w:t xml:space="preserve"> </w:t>
      </w:r>
    </w:p>
    <w:p w:rsidR="008B4B00" w:rsidRDefault="008E49F0" w:rsidP="008B4B00">
      <w:pPr>
        <w:numPr>
          <w:ilvl w:val="0"/>
          <w:numId w:val="29"/>
        </w:numPr>
        <w:spacing w:before="120"/>
        <w:ind w:left="714" w:hanging="357"/>
        <w:jc w:val="both"/>
        <w:rPr>
          <w:rFonts w:ascii="Arial" w:hAnsi="Arial" w:cs="Arial"/>
          <w:sz w:val="22"/>
          <w:szCs w:val="22"/>
        </w:rPr>
      </w:pPr>
      <w:hyperlink r:id="rId8" w:history="1">
        <w:r w:rsidR="008B4B00" w:rsidRPr="00EE7F66">
          <w:rPr>
            <w:rStyle w:val="Hyperlink"/>
            <w:rFonts w:ascii="Arial" w:hAnsi="Arial" w:cs="Arial"/>
            <w:bCs/>
            <w:spacing w:val="-3"/>
            <w:sz w:val="22"/>
            <w:szCs w:val="22"/>
          </w:rPr>
          <w:t>Review</w:t>
        </w:r>
        <w:r w:rsidR="008B4B00" w:rsidRPr="00EE7F66">
          <w:rPr>
            <w:rStyle w:val="Hyperlink"/>
            <w:rFonts w:ascii="Arial" w:hAnsi="Arial" w:cs="Arial"/>
            <w:sz w:val="22"/>
            <w:szCs w:val="22"/>
          </w:rPr>
          <w:t xml:space="preserve"> of </w:t>
        </w:r>
        <w:r w:rsidR="00C9565C" w:rsidRPr="00EE7F66">
          <w:rPr>
            <w:rStyle w:val="Hyperlink"/>
            <w:rFonts w:ascii="Arial" w:hAnsi="Arial" w:cs="Arial"/>
            <w:sz w:val="22"/>
            <w:szCs w:val="22"/>
          </w:rPr>
          <w:t>T</w:t>
        </w:r>
        <w:r w:rsidR="008B4B00" w:rsidRPr="00EE7F66">
          <w:rPr>
            <w:rStyle w:val="Hyperlink"/>
            <w:rFonts w:ascii="Arial" w:hAnsi="Arial" w:cs="Arial"/>
            <w:sz w:val="22"/>
            <w:szCs w:val="22"/>
          </w:rPr>
          <w:t xml:space="preserve">eacher </w:t>
        </w:r>
        <w:r w:rsidR="00C9565C" w:rsidRPr="00EE7F66">
          <w:rPr>
            <w:rStyle w:val="Hyperlink"/>
            <w:rFonts w:ascii="Arial" w:hAnsi="Arial" w:cs="Arial"/>
            <w:sz w:val="22"/>
            <w:szCs w:val="22"/>
          </w:rPr>
          <w:t>E</w:t>
        </w:r>
        <w:r w:rsidR="008B4B00" w:rsidRPr="00EE7F66">
          <w:rPr>
            <w:rStyle w:val="Hyperlink"/>
            <w:rFonts w:ascii="Arial" w:hAnsi="Arial" w:cs="Arial"/>
            <w:sz w:val="22"/>
            <w:szCs w:val="22"/>
          </w:rPr>
          <w:t xml:space="preserve">ducation and </w:t>
        </w:r>
        <w:r w:rsidR="00C9565C" w:rsidRPr="00EE7F66">
          <w:rPr>
            <w:rStyle w:val="Hyperlink"/>
            <w:rFonts w:ascii="Arial" w:hAnsi="Arial" w:cs="Arial"/>
            <w:sz w:val="22"/>
            <w:szCs w:val="22"/>
          </w:rPr>
          <w:t>S</w:t>
        </w:r>
        <w:r w:rsidR="008B4B00" w:rsidRPr="00EE7F66">
          <w:rPr>
            <w:rStyle w:val="Hyperlink"/>
            <w:rFonts w:ascii="Arial" w:hAnsi="Arial" w:cs="Arial"/>
            <w:sz w:val="22"/>
            <w:szCs w:val="22"/>
          </w:rPr>
          <w:t xml:space="preserve">chool </w:t>
        </w:r>
        <w:r w:rsidR="00C9565C" w:rsidRPr="00EE7F66">
          <w:rPr>
            <w:rStyle w:val="Hyperlink"/>
            <w:rFonts w:ascii="Arial" w:hAnsi="Arial" w:cs="Arial"/>
            <w:sz w:val="22"/>
            <w:szCs w:val="22"/>
          </w:rPr>
          <w:t>I</w:t>
        </w:r>
        <w:r w:rsidR="008B4B00" w:rsidRPr="00EE7F66">
          <w:rPr>
            <w:rStyle w:val="Hyperlink"/>
            <w:rFonts w:ascii="Arial" w:hAnsi="Arial" w:cs="Arial"/>
            <w:sz w:val="22"/>
            <w:szCs w:val="22"/>
          </w:rPr>
          <w:t>nduction – Second report</w:t>
        </w:r>
      </w:hyperlink>
    </w:p>
    <w:p w:rsidR="00C9565C" w:rsidRPr="00554EA6" w:rsidRDefault="008E49F0" w:rsidP="008B4B00">
      <w:pPr>
        <w:numPr>
          <w:ilvl w:val="0"/>
          <w:numId w:val="29"/>
        </w:numPr>
        <w:spacing w:before="120"/>
        <w:ind w:left="714" w:hanging="357"/>
        <w:jc w:val="both"/>
        <w:rPr>
          <w:rFonts w:ascii="Arial" w:hAnsi="Arial" w:cs="Arial"/>
          <w:sz w:val="22"/>
          <w:szCs w:val="22"/>
        </w:rPr>
      </w:pPr>
      <w:hyperlink r:id="rId9" w:history="1">
        <w:r w:rsidR="00C9565C" w:rsidRPr="003802F5">
          <w:rPr>
            <w:rStyle w:val="Hyperlink"/>
            <w:rFonts w:ascii="Arial" w:hAnsi="Arial" w:cs="Arial"/>
            <w:sz w:val="22"/>
            <w:szCs w:val="22"/>
          </w:rPr>
          <w:t>Government response to the Review of Teacher Education and School Induction</w:t>
        </w:r>
      </w:hyperlink>
    </w:p>
    <w:p w:rsidR="008B4B00" w:rsidRPr="00554EA6" w:rsidRDefault="008B4B00" w:rsidP="008B4B00">
      <w:pPr>
        <w:rPr>
          <w:rFonts w:ascii="Arial" w:hAnsi="Arial" w:cs="Arial"/>
          <w:sz w:val="22"/>
          <w:szCs w:val="22"/>
        </w:rPr>
      </w:pPr>
    </w:p>
    <w:p w:rsidR="008B4B00" w:rsidRPr="00C07656" w:rsidRDefault="008B4B00" w:rsidP="008B4B00">
      <w:pPr>
        <w:rPr>
          <w:rFonts w:ascii="Arial" w:hAnsi="Arial" w:cs="Arial"/>
          <w:sz w:val="22"/>
          <w:szCs w:val="22"/>
        </w:rPr>
      </w:pPr>
    </w:p>
    <w:p w:rsidR="008B4B00" w:rsidRDefault="008B4B00"/>
    <w:sectPr w:rsidR="008B4B00" w:rsidSect="000D1F95">
      <w:headerReference w:type="default" r:id="rId10"/>
      <w:footerReference w:type="default" r:id="rId11"/>
      <w:headerReference w:type="first" r:id="rId12"/>
      <w:footerReference w:type="first" r:id="rId13"/>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E7" w:rsidRDefault="00CA5BE7">
      <w:r>
        <w:separator/>
      </w:r>
    </w:p>
  </w:endnote>
  <w:endnote w:type="continuationSeparator" w:id="0">
    <w:p w:rsidR="00CA5BE7" w:rsidRDefault="00C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66" w:rsidRPr="001141E1" w:rsidRDefault="00EE7F66" w:rsidP="000D1F95">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66" w:rsidRDefault="00EE7F66">
    <w:pPr>
      <w:pStyle w:val="Footer"/>
    </w:pPr>
  </w:p>
  <w:p w:rsidR="00EE7F66" w:rsidRDefault="00EE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E7" w:rsidRDefault="00CA5BE7">
      <w:r>
        <w:separator/>
      </w:r>
    </w:p>
  </w:footnote>
  <w:footnote w:type="continuationSeparator" w:id="0">
    <w:p w:rsidR="00CA5BE7" w:rsidRDefault="00CA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66" w:rsidRPr="000400F9" w:rsidRDefault="00685A49" w:rsidP="000D1F95">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E7F66" w:rsidRPr="000400F9">
      <w:rPr>
        <w:rFonts w:ascii="Arial" w:hAnsi="Arial" w:cs="Arial"/>
        <w:b/>
        <w:sz w:val="22"/>
        <w:szCs w:val="22"/>
        <w:u w:val="single"/>
      </w:rPr>
      <w:t xml:space="preserve">Cabinet – </w:t>
    </w:r>
    <w:r w:rsidR="00EE7F66">
      <w:rPr>
        <w:rFonts w:ascii="Arial" w:hAnsi="Arial" w:cs="Arial"/>
        <w:b/>
        <w:sz w:val="22"/>
        <w:szCs w:val="22"/>
        <w:u w:val="single"/>
      </w:rPr>
      <w:t>month year</w:t>
    </w:r>
  </w:p>
  <w:p w:rsidR="00EE7F66" w:rsidRDefault="00EE7F66" w:rsidP="000D1F95">
    <w:pPr>
      <w:pStyle w:val="Header"/>
      <w:spacing w:before="120"/>
      <w:rPr>
        <w:rFonts w:ascii="Arial" w:hAnsi="Arial" w:cs="Arial"/>
        <w:b/>
        <w:sz w:val="22"/>
        <w:szCs w:val="22"/>
        <w:u w:val="single"/>
      </w:rPr>
    </w:pPr>
    <w:r>
      <w:rPr>
        <w:rFonts w:ascii="Arial" w:hAnsi="Arial" w:cs="Arial"/>
        <w:b/>
        <w:sz w:val="22"/>
        <w:szCs w:val="22"/>
        <w:u w:val="single"/>
      </w:rPr>
      <w:t>submission subject</w:t>
    </w:r>
  </w:p>
  <w:p w:rsidR="00EE7F66" w:rsidRDefault="00EE7F66" w:rsidP="000D1F95">
    <w:pPr>
      <w:pStyle w:val="Header"/>
      <w:spacing w:before="120"/>
      <w:rPr>
        <w:rFonts w:ascii="Arial" w:hAnsi="Arial" w:cs="Arial"/>
        <w:b/>
        <w:sz w:val="22"/>
        <w:szCs w:val="22"/>
        <w:u w:val="single"/>
      </w:rPr>
    </w:pPr>
    <w:r>
      <w:rPr>
        <w:rFonts w:ascii="Arial" w:hAnsi="Arial" w:cs="Arial"/>
        <w:b/>
        <w:sz w:val="22"/>
        <w:szCs w:val="22"/>
        <w:u w:val="single"/>
      </w:rPr>
      <w:t>Minister/s title</w:t>
    </w:r>
  </w:p>
  <w:p w:rsidR="00EE7F66" w:rsidRPr="00F10DF9" w:rsidRDefault="00EE7F66" w:rsidP="000D1F95">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66" w:rsidRPr="000400F9" w:rsidRDefault="00685A49" w:rsidP="000D1F95">
    <w:pPr>
      <w:pStyle w:val="Header"/>
      <w:ind w:firstLine="2880"/>
      <w:rPr>
        <w:rFonts w:ascii="Arial" w:hAnsi="Arial" w:cs="Arial"/>
        <w:b/>
        <w:sz w:val="22"/>
        <w:szCs w:val="22"/>
        <w:u w:val="single"/>
      </w:rPr>
    </w:pPr>
    <w:bookmarkStart w:id="1" w:name="OLE_LINK1"/>
    <w:bookmarkStart w:id="2" w:name="OLE_LINK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E7F66" w:rsidRPr="000400F9">
      <w:rPr>
        <w:rFonts w:ascii="Arial" w:hAnsi="Arial" w:cs="Arial"/>
        <w:b/>
        <w:sz w:val="22"/>
        <w:szCs w:val="22"/>
        <w:u w:val="single"/>
      </w:rPr>
      <w:t xml:space="preserve">Cabinet – </w:t>
    </w:r>
    <w:r w:rsidR="00EE7F66">
      <w:rPr>
        <w:rFonts w:ascii="Arial" w:hAnsi="Arial" w:cs="Arial"/>
        <w:b/>
        <w:sz w:val="22"/>
        <w:szCs w:val="22"/>
        <w:u w:val="single"/>
      </w:rPr>
      <w:t xml:space="preserve">February 2011 </w:t>
    </w:r>
  </w:p>
  <w:p w:rsidR="00EE7F66" w:rsidRPr="003802F5" w:rsidRDefault="00EE7F66" w:rsidP="000D1F95">
    <w:pPr>
      <w:pStyle w:val="Header"/>
      <w:spacing w:before="120"/>
      <w:rPr>
        <w:rFonts w:ascii="Arial" w:hAnsi="Arial" w:cs="Arial"/>
        <w:b/>
        <w:sz w:val="22"/>
        <w:szCs w:val="22"/>
        <w:u w:val="single"/>
      </w:rPr>
    </w:pPr>
    <w:r w:rsidRPr="003802F5">
      <w:rPr>
        <w:rFonts w:ascii="Arial" w:hAnsi="Arial" w:cs="Arial"/>
        <w:b/>
        <w:sz w:val="22"/>
        <w:szCs w:val="22"/>
        <w:u w:val="single"/>
      </w:rPr>
      <w:t>Review of Teacher Education and School Induction Programs</w:t>
    </w:r>
  </w:p>
  <w:p w:rsidR="00EE7F66" w:rsidRPr="00371C41" w:rsidRDefault="00EE7F66" w:rsidP="000D1F95">
    <w:pPr>
      <w:pStyle w:val="Header"/>
      <w:spacing w:before="120"/>
      <w:rPr>
        <w:rFonts w:ascii="Arial" w:hAnsi="Arial" w:cs="Arial"/>
        <w:b/>
        <w:sz w:val="22"/>
        <w:szCs w:val="22"/>
      </w:rPr>
    </w:pPr>
    <w:r w:rsidRPr="003802F5">
      <w:rPr>
        <w:rFonts w:ascii="Arial" w:hAnsi="Arial" w:cs="Arial"/>
        <w:b/>
        <w:sz w:val="22"/>
        <w:szCs w:val="22"/>
        <w:u w:val="single"/>
      </w:rPr>
      <w:t>Minister for Education and Industrial Relations</w:t>
    </w:r>
  </w:p>
  <w:bookmarkEnd w:id="1"/>
  <w:bookmarkEnd w:id="2"/>
  <w:p w:rsidR="00EE7F66" w:rsidRPr="00F10DF9" w:rsidRDefault="00EE7F66" w:rsidP="000D1F95">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6A30A2"/>
    <w:multiLevelType w:val="multilevel"/>
    <w:tmpl w:val="0740A224"/>
    <w:lvl w:ilvl="0">
      <w:start w:val="2"/>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D458BD"/>
    <w:multiLevelType w:val="hybridMultilevel"/>
    <w:tmpl w:val="03AC40D6"/>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2F3ED4"/>
    <w:multiLevelType w:val="hybridMultilevel"/>
    <w:tmpl w:val="FCE6A3AC"/>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BA10A33"/>
    <w:multiLevelType w:val="hybridMultilevel"/>
    <w:tmpl w:val="F31062BE"/>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138776F"/>
    <w:multiLevelType w:val="hybridMultilevel"/>
    <w:tmpl w:val="79704BC0"/>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A82971"/>
    <w:multiLevelType w:val="hybridMultilevel"/>
    <w:tmpl w:val="F85CA7AE"/>
    <w:lvl w:ilvl="0" w:tplc="2A7E7580">
      <w:start w:val="1"/>
      <w:numFmt w:val="bullet"/>
      <w:lvlText w:val=""/>
      <w:lvlJc w:val="left"/>
      <w:pPr>
        <w:tabs>
          <w:tab w:val="num" w:pos="720"/>
        </w:tabs>
        <w:ind w:left="720" w:hanging="360"/>
      </w:pPr>
      <w:rPr>
        <w:rFonts w:ascii="Symbol" w:hAnsi="Symbol" w:hint="default"/>
        <w:color w:val="auto"/>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4521FC"/>
    <w:multiLevelType w:val="hybridMultilevel"/>
    <w:tmpl w:val="F2FA2230"/>
    <w:lvl w:ilvl="0" w:tplc="2076A71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A016CD8"/>
    <w:multiLevelType w:val="hybridMultilevel"/>
    <w:tmpl w:val="EFC8635A"/>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CF07D88"/>
    <w:multiLevelType w:val="hybridMultilevel"/>
    <w:tmpl w:val="59EC14BE"/>
    <w:lvl w:ilvl="0" w:tplc="2A7E7580">
      <w:start w:val="1"/>
      <w:numFmt w:val="bullet"/>
      <w:lvlText w:val=""/>
      <w:lvlJc w:val="left"/>
      <w:pPr>
        <w:tabs>
          <w:tab w:val="num" w:pos="720"/>
        </w:tabs>
        <w:ind w:left="720" w:hanging="360"/>
      </w:pPr>
      <w:rPr>
        <w:rFonts w:ascii="Symbol" w:hAnsi="Symbol" w:hint="default"/>
        <w:color w:val="auto"/>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8B36A2"/>
    <w:multiLevelType w:val="hybridMultilevel"/>
    <w:tmpl w:val="7784A800"/>
    <w:lvl w:ilvl="0" w:tplc="9E62BE26">
      <w:start w:val="10"/>
      <w:numFmt w:val="decimal"/>
      <w:lvlText w:val="%1."/>
      <w:lvlJc w:val="left"/>
      <w:pPr>
        <w:tabs>
          <w:tab w:val="num" w:pos="360"/>
        </w:tabs>
        <w:ind w:left="360" w:hanging="360"/>
      </w:pPr>
      <w:rPr>
        <w:rFonts w:hint="default"/>
      </w:rPr>
    </w:lvl>
    <w:lvl w:ilvl="1" w:tplc="C3B0C5A6">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E7600E3"/>
    <w:multiLevelType w:val="multilevel"/>
    <w:tmpl w:val="0AF0FF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A96A32"/>
    <w:multiLevelType w:val="hybridMultilevel"/>
    <w:tmpl w:val="77961A40"/>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C3D001A"/>
    <w:multiLevelType w:val="hybridMultilevel"/>
    <w:tmpl w:val="49D60A2C"/>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F011B8B"/>
    <w:multiLevelType w:val="hybridMultilevel"/>
    <w:tmpl w:val="BD7E0D22"/>
    <w:lvl w:ilvl="0" w:tplc="2A7E7580">
      <w:start w:val="1"/>
      <w:numFmt w:val="bullet"/>
      <w:lvlText w:val=""/>
      <w:lvlJc w:val="left"/>
      <w:pPr>
        <w:tabs>
          <w:tab w:val="num" w:pos="717"/>
        </w:tabs>
        <w:ind w:left="717" w:hanging="360"/>
      </w:pPr>
      <w:rPr>
        <w:rFonts w:ascii="Symbol" w:hAnsi="Symbol" w:hint="default"/>
        <w:color w:val="auto"/>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8" w15:restartNumberingAfterBreak="0">
    <w:nsid w:val="55055E7C"/>
    <w:multiLevelType w:val="hybridMultilevel"/>
    <w:tmpl w:val="656C3FF6"/>
    <w:lvl w:ilvl="0" w:tplc="2A7E7580">
      <w:start w:val="1"/>
      <w:numFmt w:val="bullet"/>
      <w:lvlText w:val=""/>
      <w:lvlJc w:val="left"/>
      <w:pPr>
        <w:tabs>
          <w:tab w:val="num" w:pos="360"/>
        </w:tabs>
        <w:ind w:left="360" w:hanging="360"/>
      </w:pPr>
      <w:rPr>
        <w:rFonts w:ascii="Symbol" w:hAnsi="Symbol" w:hint="default"/>
        <w:color w:val="auto"/>
      </w:rPr>
    </w:lvl>
    <w:lvl w:ilvl="1" w:tplc="91BA1428">
      <w:start w:val="36"/>
      <w:numFmt w:val="decimal"/>
      <w:lvlText w:val="%2."/>
      <w:lvlJc w:val="left"/>
      <w:pPr>
        <w:tabs>
          <w:tab w:val="num" w:pos="1440"/>
        </w:tabs>
        <w:ind w:left="1440" w:hanging="360"/>
      </w:pPr>
      <w:rPr>
        <w:rFonts w:hint="default"/>
        <w:color w:val="auto"/>
      </w:rPr>
    </w:lvl>
    <w:lvl w:ilvl="2" w:tplc="0C09001B">
      <w:start w:val="1"/>
      <w:numFmt w:val="lowerRoman"/>
      <w:lvlText w:val="%3."/>
      <w:lvlJc w:val="right"/>
      <w:pPr>
        <w:tabs>
          <w:tab w:val="num" w:pos="2160"/>
        </w:tabs>
        <w:ind w:left="2160" w:hanging="180"/>
      </w:pPr>
    </w:lvl>
    <w:lvl w:ilvl="3" w:tplc="1E0891BA">
      <w:start w:val="1"/>
      <w:numFmt w:val="upperLetter"/>
      <w:lvlText w:val="(%4)"/>
      <w:lvlJc w:val="left"/>
      <w:pPr>
        <w:tabs>
          <w:tab w:val="num" w:pos="3000"/>
        </w:tabs>
        <w:ind w:left="3000" w:hanging="48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2812BD"/>
    <w:multiLevelType w:val="hybridMultilevel"/>
    <w:tmpl w:val="1136ADBC"/>
    <w:lvl w:ilvl="0" w:tplc="2A7E7580">
      <w:start w:val="1"/>
      <w:numFmt w:val="bullet"/>
      <w:lvlText w:val=""/>
      <w:lvlJc w:val="left"/>
      <w:pPr>
        <w:tabs>
          <w:tab w:val="num" w:pos="360"/>
        </w:tabs>
        <w:ind w:left="36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B982528"/>
    <w:multiLevelType w:val="hybridMultilevel"/>
    <w:tmpl w:val="6A9695F8"/>
    <w:lvl w:ilvl="0" w:tplc="AAFE3BDA">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34740D"/>
    <w:multiLevelType w:val="hybridMultilevel"/>
    <w:tmpl w:val="E42ABCD0"/>
    <w:lvl w:ilvl="0" w:tplc="2A7E7580">
      <w:start w:val="1"/>
      <w:numFmt w:val="bullet"/>
      <w:lvlText w:val=""/>
      <w:lvlJc w:val="left"/>
      <w:pPr>
        <w:tabs>
          <w:tab w:val="num" w:pos="360"/>
        </w:tabs>
        <w:ind w:left="360" w:hanging="360"/>
      </w:pPr>
      <w:rPr>
        <w:rFonts w:ascii="Symbol" w:hAnsi="Symbol" w:hint="default"/>
        <w:color w:val="auto"/>
      </w:rPr>
    </w:lvl>
    <w:lvl w:ilvl="1" w:tplc="2A7E7580">
      <w:start w:val="1"/>
      <w:numFmt w:val="bullet"/>
      <w:lvlText w:val=""/>
      <w:lvlJc w:val="left"/>
      <w:pPr>
        <w:tabs>
          <w:tab w:val="num" w:pos="1440"/>
        </w:tabs>
        <w:ind w:left="1440" w:hanging="360"/>
      </w:pPr>
      <w:rPr>
        <w:rFonts w:ascii="Symbol" w:hAnsi="Symbol" w:hint="default"/>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215AAF"/>
    <w:multiLevelType w:val="hybridMultilevel"/>
    <w:tmpl w:val="72D83572"/>
    <w:lvl w:ilvl="0" w:tplc="2A7E758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00097D"/>
    <w:multiLevelType w:val="hybridMultilevel"/>
    <w:tmpl w:val="7974E97C"/>
    <w:lvl w:ilvl="0" w:tplc="2A7E7580">
      <w:start w:val="1"/>
      <w:numFmt w:val="bullet"/>
      <w:lvlText w:val=""/>
      <w:lvlJc w:val="left"/>
      <w:pPr>
        <w:tabs>
          <w:tab w:val="num" w:pos="360"/>
        </w:tabs>
        <w:ind w:left="360" w:hanging="360"/>
      </w:pPr>
      <w:rPr>
        <w:rFonts w:ascii="Symbol" w:hAnsi="Symbol" w:hint="default"/>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0"/>
  </w:num>
  <w:num w:numId="5">
    <w:abstractNumId w:val="19"/>
  </w:num>
  <w:num w:numId="6">
    <w:abstractNumId w:val="23"/>
  </w:num>
  <w:num w:numId="7">
    <w:abstractNumId w:val="24"/>
  </w:num>
  <w:num w:numId="8">
    <w:abstractNumId w:val="14"/>
  </w:num>
  <w:num w:numId="9">
    <w:abstractNumId w:val="27"/>
  </w:num>
  <w:num w:numId="10">
    <w:abstractNumId w:val="2"/>
  </w:num>
  <w:num w:numId="11">
    <w:abstractNumId w:val="14"/>
    <w:lvlOverride w:ilvl="0"/>
    <w:lvlOverride w:ilvl="1">
      <w:startOverride w:val="1"/>
    </w:lvlOverride>
    <w:lvlOverride w:ilvl="2"/>
    <w:lvlOverride w:ilvl="3"/>
    <w:lvlOverride w:ilvl="4"/>
    <w:lvlOverride w:ilvl="5"/>
    <w:lvlOverride w:ilvl="6"/>
    <w:lvlOverride w:ilvl="7"/>
    <w:lvlOverride w:ilvl="8"/>
  </w:num>
  <w:num w:numId="12">
    <w:abstractNumId w:val="25"/>
  </w:num>
  <w:num w:numId="13">
    <w:abstractNumId w:val="26"/>
  </w:num>
  <w:num w:numId="14">
    <w:abstractNumId w:val="3"/>
  </w:num>
  <w:num w:numId="15">
    <w:abstractNumId w:val="20"/>
  </w:num>
  <w:num w:numId="16">
    <w:abstractNumId w:val="17"/>
  </w:num>
  <w:num w:numId="17">
    <w:abstractNumId w:val="4"/>
  </w:num>
  <w:num w:numId="18">
    <w:abstractNumId w:val="16"/>
  </w:num>
  <w:num w:numId="19">
    <w:abstractNumId w:val="15"/>
  </w:num>
  <w:num w:numId="20">
    <w:abstractNumId w:val="8"/>
  </w:num>
  <w:num w:numId="21">
    <w:abstractNumId w:val="5"/>
  </w:num>
  <w:num w:numId="22">
    <w:abstractNumId w:val="11"/>
  </w:num>
  <w:num w:numId="23">
    <w:abstractNumId w:val="10"/>
  </w:num>
  <w:num w:numId="24">
    <w:abstractNumId w:val="18"/>
  </w:num>
  <w:num w:numId="25">
    <w:abstractNumId w:val="13"/>
  </w:num>
  <w:num w:numId="26">
    <w:abstractNumId w:val="22"/>
  </w:num>
  <w:num w:numId="27">
    <w:abstractNumId w:val="2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0"/>
    <w:rsid w:val="000D1F95"/>
    <w:rsid w:val="00343BAF"/>
    <w:rsid w:val="003802F5"/>
    <w:rsid w:val="003A2AA7"/>
    <w:rsid w:val="003C0AF3"/>
    <w:rsid w:val="004F4A14"/>
    <w:rsid w:val="005A5F68"/>
    <w:rsid w:val="005F3F22"/>
    <w:rsid w:val="00685A49"/>
    <w:rsid w:val="00884E27"/>
    <w:rsid w:val="008B4B00"/>
    <w:rsid w:val="008E49F0"/>
    <w:rsid w:val="009361BB"/>
    <w:rsid w:val="009A65B8"/>
    <w:rsid w:val="00A161FB"/>
    <w:rsid w:val="00A27DCE"/>
    <w:rsid w:val="00BD08EF"/>
    <w:rsid w:val="00C41ECA"/>
    <w:rsid w:val="00C9565C"/>
    <w:rsid w:val="00CA5BE7"/>
    <w:rsid w:val="00D87232"/>
    <w:rsid w:val="00DB28DD"/>
    <w:rsid w:val="00E72703"/>
    <w:rsid w:val="00EE7F66"/>
    <w:rsid w:val="00F65505"/>
    <w:rsid w:val="00FC6FA1"/>
    <w:rsid w:val="00FD4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0"/>
    <w:rPr>
      <w:rFonts w:eastAsia="Times New Roman"/>
      <w:color w:val="000000"/>
      <w:sz w:val="24"/>
    </w:rPr>
  </w:style>
  <w:style w:type="paragraph" w:styleId="Heading2">
    <w:name w:val="heading 2"/>
    <w:basedOn w:val="Normal"/>
    <w:next w:val="Normal"/>
    <w:qFormat/>
    <w:rsid w:val="008B4B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8B4B0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B00"/>
    <w:pPr>
      <w:tabs>
        <w:tab w:val="center" w:pos="4153"/>
        <w:tab w:val="right" w:pos="8306"/>
      </w:tabs>
    </w:pPr>
    <w:rPr>
      <w:color w:val="auto"/>
    </w:rPr>
  </w:style>
  <w:style w:type="character" w:styleId="PageNumber">
    <w:name w:val="page number"/>
    <w:basedOn w:val="DefaultParagraphFont"/>
    <w:rsid w:val="008B4B00"/>
  </w:style>
  <w:style w:type="paragraph" w:styleId="Footer">
    <w:name w:val="footer"/>
    <w:basedOn w:val="Normal"/>
    <w:link w:val="FooterChar"/>
    <w:uiPriority w:val="99"/>
    <w:rsid w:val="008B4B00"/>
    <w:pPr>
      <w:tabs>
        <w:tab w:val="center" w:pos="4153"/>
        <w:tab w:val="right" w:pos="8306"/>
      </w:tabs>
    </w:pPr>
  </w:style>
  <w:style w:type="table" w:styleId="TableGrid">
    <w:name w:val="Table Grid"/>
    <w:basedOn w:val="TableNormal"/>
    <w:rsid w:val="008B4B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B4B00"/>
    <w:pPr>
      <w:spacing w:after="160" w:line="240" w:lineRule="exact"/>
    </w:pPr>
    <w:rPr>
      <w:rFonts w:ascii="Verdana" w:hAnsi="Verdana"/>
      <w:noProof/>
      <w:color w:val="auto"/>
      <w:sz w:val="20"/>
      <w:szCs w:val="24"/>
      <w:lang w:val="en-US" w:eastAsia="en-US"/>
    </w:rPr>
  </w:style>
  <w:style w:type="paragraph" w:styleId="BalloonText">
    <w:name w:val="Balloon Text"/>
    <w:basedOn w:val="Normal"/>
    <w:semiHidden/>
    <w:rsid w:val="00C9565C"/>
    <w:rPr>
      <w:rFonts w:ascii="Tahoma" w:hAnsi="Tahoma" w:cs="Tahoma"/>
      <w:sz w:val="16"/>
      <w:szCs w:val="16"/>
    </w:rPr>
  </w:style>
  <w:style w:type="character" w:customStyle="1" w:styleId="FooterChar">
    <w:name w:val="Footer Char"/>
    <w:basedOn w:val="DefaultParagraphFont"/>
    <w:link w:val="Footer"/>
    <w:uiPriority w:val="99"/>
    <w:rsid w:val="00F65505"/>
    <w:rPr>
      <w:rFonts w:eastAsia="Times New Roman"/>
      <w:color w:val="000000"/>
      <w:sz w:val="24"/>
    </w:rPr>
  </w:style>
  <w:style w:type="character" w:styleId="Hyperlink">
    <w:name w:val="Hyperlink"/>
    <w:basedOn w:val="DefaultParagraphFont"/>
    <w:rsid w:val="003802F5"/>
    <w:rPr>
      <w:color w:val="0000FF"/>
      <w:u w:val="single"/>
    </w:rPr>
  </w:style>
  <w:style w:type="character" w:styleId="FollowedHyperlink">
    <w:name w:val="FollowedHyperlink"/>
    <w:basedOn w:val="DefaultParagraphFont"/>
    <w:rsid w:val="00EE7F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view-teacher-education-school-induction-second-full-repor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ttachments/review-teacher-education-school-induction-first-full-repor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govt-reponse-review-teacher-education-school-induc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2136</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2487</CharactersWithSpaces>
  <SharedDoc>false</SharedDoc>
  <HyperlinkBase>https://www.cabinet.qld.gov.au/documents/2011/Feb/Teacher Education and School Induction Programs/</HyperlinkBase>
  <HLinks>
    <vt:vector size="18" baseType="variant">
      <vt:variant>
        <vt:i4>8192127</vt:i4>
      </vt:variant>
      <vt:variant>
        <vt:i4>6</vt:i4>
      </vt:variant>
      <vt:variant>
        <vt:i4>0</vt:i4>
      </vt:variant>
      <vt:variant>
        <vt:i4>5</vt:i4>
      </vt:variant>
      <vt:variant>
        <vt:lpwstr>Attachments/govt-reponse-review-teacher-education-school-induction.pdf</vt:lpwstr>
      </vt:variant>
      <vt:variant>
        <vt:lpwstr/>
      </vt:variant>
      <vt:variant>
        <vt:i4>1310796</vt:i4>
      </vt:variant>
      <vt:variant>
        <vt:i4>3</vt:i4>
      </vt:variant>
      <vt:variant>
        <vt:i4>0</vt:i4>
      </vt:variant>
      <vt:variant>
        <vt:i4>5</vt:i4>
      </vt:variant>
      <vt:variant>
        <vt:lpwstr>Attachments/review-teacher-education-school-induction-second-full-report.pdf</vt:lpwstr>
      </vt:variant>
      <vt:variant>
        <vt:lpwstr/>
      </vt:variant>
      <vt:variant>
        <vt:i4>2162805</vt:i4>
      </vt:variant>
      <vt:variant>
        <vt:i4>0</vt:i4>
      </vt:variant>
      <vt:variant>
        <vt:i4>0</vt:i4>
      </vt:variant>
      <vt:variant>
        <vt:i4>5</vt:i4>
      </vt:variant>
      <vt:variant>
        <vt:lpwstr>Attachments/review-teacher-education-school-induction-first-full-report.pdf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2011-06-14T03:35:00Z</cp:lastPrinted>
  <dcterms:created xsi:type="dcterms:W3CDTF">2017-10-24T23:05:00Z</dcterms:created>
  <dcterms:modified xsi:type="dcterms:W3CDTF">2018-03-06T01:07:00Z</dcterms:modified>
  <cp:category>Education</cp:category>
</cp:coreProperties>
</file>